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6204" w14:textId="23717FFC" w:rsidR="007C07C4" w:rsidRDefault="00021A4C" w:rsidP="00021A4C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Abstract</w:t>
      </w:r>
      <w:r w:rsidR="004F4E73">
        <w:rPr>
          <w:b/>
          <w:bCs/>
          <w:sz w:val="32"/>
          <w:szCs w:val="32"/>
        </w:rPr>
        <w:t xml:space="preserve"> Submission </w:t>
      </w:r>
      <w:proofErr w:type="spellStart"/>
      <w:r w:rsidR="002E23C5">
        <w:rPr>
          <w:b/>
          <w:bCs/>
          <w:sz w:val="32"/>
          <w:szCs w:val="32"/>
        </w:rPr>
        <w:t>HypoxEU</w:t>
      </w:r>
      <w:proofErr w:type="spellEnd"/>
      <w:r w:rsidR="002E23C5">
        <w:rPr>
          <w:b/>
          <w:bCs/>
          <w:sz w:val="32"/>
          <w:szCs w:val="32"/>
        </w:rPr>
        <w:t xml:space="preserve"> Dresden 2024</w:t>
      </w:r>
    </w:p>
    <w:p w14:paraId="0B2FDD36" w14:textId="77777777" w:rsidR="007C07C4" w:rsidRDefault="007C07C4" w:rsidP="007C07C4">
      <w:pPr>
        <w:spacing w:line="276" w:lineRule="auto"/>
        <w:rPr>
          <w:b/>
          <w:bCs/>
          <w:sz w:val="28"/>
          <w:szCs w:val="28"/>
        </w:rPr>
      </w:pPr>
    </w:p>
    <w:p w14:paraId="44D31F31" w14:textId="3B6F6651" w:rsidR="00021A4C" w:rsidRDefault="007C07C4" w:rsidP="00F403ED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Microtubule dis</w:t>
      </w:r>
      <w:r w:rsidR="00811379">
        <w:rPr>
          <w:b/>
          <w:bCs/>
          <w:sz w:val="28"/>
          <w:szCs w:val="28"/>
        </w:rPr>
        <w:t>ruption abrogates</w:t>
      </w:r>
      <w:r w:rsidR="009F4485" w:rsidRPr="00F403ED">
        <w:rPr>
          <w:b/>
          <w:bCs/>
          <w:sz w:val="28"/>
          <w:szCs w:val="28"/>
        </w:rPr>
        <w:t xml:space="preserve"> hypoxia-induced upregulation of </w:t>
      </w:r>
      <w:r w:rsidR="00F403ED" w:rsidRPr="00F403ED">
        <w:rPr>
          <w:b/>
          <w:bCs/>
          <w:sz w:val="28"/>
          <w:szCs w:val="28"/>
        </w:rPr>
        <w:t>glycolysis</w:t>
      </w:r>
    </w:p>
    <w:p w14:paraId="6A0166D2" w14:textId="77777777" w:rsidR="00F403ED" w:rsidRDefault="00F403ED" w:rsidP="00021A4C">
      <w:pPr>
        <w:spacing w:line="276" w:lineRule="auto"/>
      </w:pPr>
    </w:p>
    <w:p w14:paraId="725EAEDB" w14:textId="0B2519F5" w:rsidR="006765D7" w:rsidRDefault="006765D7" w:rsidP="00021A4C">
      <w:pPr>
        <w:spacing w:line="276" w:lineRule="auto"/>
      </w:pPr>
      <w:r>
        <w:t>In hypoxia,</w:t>
      </w:r>
      <w:r w:rsidR="00305523">
        <w:t xml:space="preserve"> due to the decrease in cellular ATP production,</w:t>
      </w:r>
      <w:r w:rsidR="0074385D">
        <w:t xml:space="preserve"> mammalian cells undergo </w:t>
      </w:r>
      <w:r w:rsidR="007F0E95">
        <w:t>energetic stress.</w:t>
      </w:r>
      <w:r>
        <w:t xml:space="preserve"> </w:t>
      </w:r>
      <w:r w:rsidR="007F0E95">
        <w:t>T</w:t>
      </w:r>
      <w:r>
        <w:t xml:space="preserve">he cell combats </w:t>
      </w:r>
      <w:r w:rsidR="00305523">
        <w:t>this</w:t>
      </w:r>
      <w:r w:rsidR="007F0E95">
        <w:t xml:space="preserve"> ATP</w:t>
      </w:r>
      <w:r w:rsidR="00305523">
        <w:t xml:space="preserve"> </w:t>
      </w:r>
      <w:r>
        <w:t>deficit through adaptive responses of the glycolytic pathway mediated through the hypoxia inducible factor 1-</w:t>
      </w:r>
      <w:r>
        <w:sym w:font="Symbol" w:char="F061"/>
      </w:r>
      <w:r w:rsidR="00D82E72">
        <w:t xml:space="preserve"> (HIF-1</w:t>
      </w:r>
      <w:r w:rsidR="00D82E72">
        <w:sym w:font="Symbol" w:char="F061"/>
      </w:r>
      <w:r w:rsidR="00D82E72">
        <w:t>)</w:t>
      </w:r>
      <w:r>
        <w:t>. However, it is unlikely that the bioenergetic requirements of the cell relies solely on the increased expression of glycolytic enzymes and intermediates distributed randomly in the cytoplasm of the cell</w:t>
      </w:r>
      <w:r w:rsidR="00D82E72">
        <w:t xml:space="preserve"> relying on passive diffusion</w:t>
      </w:r>
      <w:r>
        <w:t xml:space="preserve">. </w:t>
      </w:r>
      <w:r w:rsidR="00363793">
        <w:t>Recently, it has been observed that in response to hypoxia, glycolytic enzymes coalesce to form a glycolytic metabo</w:t>
      </w:r>
      <w:r w:rsidR="002E23C5">
        <w:t>lic complex</w:t>
      </w:r>
      <w:r w:rsidR="00363793">
        <w:t xml:space="preserve"> to efficiently increase ATP production</w:t>
      </w:r>
      <w:r w:rsidR="0026774F">
        <w:t xml:space="preserve"> and glycolytic flux</w:t>
      </w:r>
      <w:r w:rsidR="00C3024E">
        <w:t xml:space="preserve"> in response to this metabolic challenge</w:t>
      </w:r>
      <w:r w:rsidR="00363793">
        <w:t>. While the function of this metabol</w:t>
      </w:r>
      <w:r w:rsidR="002E23C5">
        <w:t>ic complex</w:t>
      </w:r>
      <w:r w:rsidR="00363793">
        <w:t xml:space="preserve"> formation has been characterised, the mechanisms underpinning formation, scaffolding, and intracellular distribution is poorly understood. Microtubules are a primary method of intracellular transport and may alter the energy distribution strategies of cells in bioenergetic crisis. We hypothesize that the microtubular network </w:t>
      </w:r>
      <w:r w:rsidR="00E811E9">
        <w:t xml:space="preserve">transports glycolytic enzymes </w:t>
      </w:r>
      <w:r w:rsidR="008F4AF5">
        <w:t>and/</w:t>
      </w:r>
      <w:r w:rsidR="00E811E9">
        <w:t>or facilitates increased glycolytic ATP production</w:t>
      </w:r>
      <w:r w:rsidR="002E62CD">
        <w:t xml:space="preserve"> by promoting</w:t>
      </w:r>
      <w:r w:rsidR="00E811E9">
        <w:t xml:space="preserve"> </w:t>
      </w:r>
      <w:r w:rsidR="00F0255A">
        <w:t>metabol</w:t>
      </w:r>
      <w:r w:rsidR="002E23C5">
        <w:t>ic complex</w:t>
      </w:r>
      <w:r w:rsidR="00F0255A">
        <w:t xml:space="preserve"> formation</w:t>
      </w:r>
      <w:r w:rsidR="002E62CD">
        <w:t xml:space="preserve"> </w:t>
      </w:r>
      <w:r w:rsidR="00136507">
        <w:t>to induce glycolysis in hypoxia</w:t>
      </w:r>
      <w:r w:rsidR="00F0255A">
        <w:t xml:space="preserve">. </w:t>
      </w:r>
      <w:r w:rsidR="00B20DE9">
        <w:t xml:space="preserve">Through western blots, we have successfully showed that upon exposure to 1% oxygen, </w:t>
      </w:r>
      <w:r w:rsidR="0026774F">
        <w:t>C</w:t>
      </w:r>
      <w:r w:rsidR="00B20DE9">
        <w:t>a</w:t>
      </w:r>
      <w:r w:rsidR="0026774F">
        <w:t>Co</w:t>
      </w:r>
      <w:r w:rsidR="00B20DE9">
        <w:t>2 cells induce a robust hypoxic response by stabilising HIF</w:t>
      </w:r>
      <w:r w:rsidR="009434B4">
        <w:t>-1</w:t>
      </w:r>
      <w:r w:rsidR="009434B4">
        <w:sym w:font="Symbol" w:char="F061"/>
      </w:r>
      <w:r w:rsidR="009434B4">
        <w:t xml:space="preserve"> (n = 3).</w:t>
      </w:r>
      <w:r w:rsidR="00F70E3A">
        <w:t xml:space="preserve"> </w:t>
      </w:r>
      <w:r w:rsidR="00303714">
        <w:t xml:space="preserve">Upon exposure to </w:t>
      </w:r>
      <w:r w:rsidR="00AD14EA">
        <w:t xml:space="preserve">24 hours of </w:t>
      </w:r>
      <w:r w:rsidR="00303714">
        <w:t xml:space="preserve">hypoxia, </w:t>
      </w:r>
      <w:r w:rsidR="00F22EFC">
        <w:t>C</w:t>
      </w:r>
      <w:r w:rsidR="00303714">
        <w:t>a</w:t>
      </w:r>
      <w:r w:rsidR="00F22EFC">
        <w:t>C</w:t>
      </w:r>
      <w:r w:rsidR="00303714">
        <w:t>o2 cells elicit a</w:t>
      </w:r>
      <w:r w:rsidR="00DA47D5">
        <w:t xml:space="preserve"> </w:t>
      </w:r>
      <w:r w:rsidR="00290F14">
        <w:t xml:space="preserve">statistically significant increase in </w:t>
      </w:r>
      <w:r w:rsidR="00DA47D5">
        <w:t>glycolysis</w:t>
      </w:r>
      <w:r w:rsidR="006D081E">
        <w:t xml:space="preserve"> </w:t>
      </w:r>
      <w:r w:rsidR="00AA215D">
        <w:t>(</w:t>
      </w:r>
      <w:r w:rsidR="008F4AF5">
        <w:t xml:space="preserve">185% </w:t>
      </w:r>
      <w:r w:rsidR="00302E4D">
        <w:t>average</w:t>
      </w:r>
      <w:r w:rsidR="006B6B17">
        <w:t xml:space="preserve"> increase</w:t>
      </w:r>
      <w:r w:rsidR="006D081E">
        <w:t xml:space="preserve"> in</w:t>
      </w:r>
      <w:r w:rsidR="00AD14EA">
        <w:t xml:space="preserve"> intracellular</w:t>
      </w:r>
      <w:r w:rsidR="006D081E">
        <w:t xml:space="preserve"> lactate</w:t>
      </w:r>
      <w:r w:rsidR="00302E4D">
        <w:t>, n = 3</w:t>
      </w:r>
      <w:r w:rsidR="006B6B17">
        <w:t>)</w:t>
      </w:r>
      <w:r w:rsidR="006E637D">
        <w:t xml:space="preserve"> w</w:t>
      </w:r>
      <w:r w:rsidR="00303714">
        <w:t xml:space="preserve">hich was </w:t>
      </w:r>
      <w:r w:rsidR="003F2419">
        <w:t xml:space="preserve">then </w:t>
      </w:r>
      <w:r w:rsidR="00C5737A">
        <w:t xml:space="preserve">supressed </w:t>
      </w:r>
      <w:r w:rsidR="00303714">
        <w:t xml:space="preserve">when treated with </w:t>
      </w:r>
      <w:r w:rsidR="00065671">
        <w:t>non-toxic concentrations of nocodazole and dynarrestin (</w:t>
      </w:r>
      <w:r w:rsidR="00E07BD2">
        <w:t>20</w:t>
      </w:r>
      <w:r w:rsidR="008F4AF5">
        <w:t xml:space="preserve">% </w:t>
      </w:r>
      <w:r w:rsidR="00E07BD2">
        <w:t>increase and</w:t>
      </w:r>
      <w:r w:rsidR="008F4AF5">
        <w:t xml:space="preserve"> </w:t>
      </w:r>
      <w:r w:rsidR="00E07BD2">
        <w:t>7</w:t>
      </w:r>
      <w:r w:rsidR="008F4AF5">
        <w:t>4%</w:t>
      </w:r>
      <w:r w:rsidR="00E07BD2">
        <w:t xml:space="preserve"> increase respectively</w:t>
      </w:r>
      <w:r w:rsidR="00C911A8">
        <w:t>, n = 3</w:t>
      </w:r>
      <w:r w:rsidR="00E07BD2">
        <w:t xml:space="preserve">). </w:t>
      </w:r>
      <w:r w:rsidR="00750424">
        <w:t>Further from this, pharmacological stabilisation of HIF</w:t>
      </w:r>
      <w:r w:rsidR="00820A63">
        <w:t>-1</w:t>
      </w:r>
      <w:r w:rsidR="00820A63">
        <w:sym w:font="Symbol" w:char="F061"/>
      </w:r>
      <w:r w:rsidR="00820A63">
        <w:t xml:space="preserve"> resulted in an increase in </w:t>
      </w:r>
      <w:r w:rsidR="00E13C47">
        <w:t>extracellular lactate production (</w:t>
      </w:r>
      <w:r w:rsidR="00204871">
        <w:t>105% increase relative to control</w:t>
      </w:r>
      <w:r w:rsidR="00A043C7">
        <w:t>, n = 3)</w:t>
      </w:r>
      <w:r w:rsidR="002E23C5">
        <w:t xml:space="preserve"> and was subsequently </w:t>
      </w:r>
      <w:r w:rsidR="00A043C7">
        <w:t>abrogated when treated with nocodazole.</w:t>
      </w:r>
      <w:r w:rsidR="00820A63">
        <w:t xml:space="preserve"> </w:t>
      </w:r>
      <w:r w:rsidR="002E23C5">
        <w:t xml:space="preserve">Overall, these results implicate </w:t>
      </w:r>
      <w:r w:rsidR="008E706E">
        <w:t xml:space="preserve">a role for microtubule </w:t>
      </w:r>
      <w:r w:rsidR="004F4E73">
        <w:t>transport as well as structure in hypoxia-induced glycolysis.</w:t>
      </w:r>
    </w:p>
    <w:sectPr w:rsidR="00676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24"/>
    <w:rsid w:val="00021A4C"/>
    <w:rsid w:val="00022770"/>
    <w:rsid w:val="00027B23"/>
    <w:rsid w:val="0003527F"/>
    <w:rsid w:val="00041ADA"/>
    <w:rsid w:val="00053589"/>
    <w:rsid w:val="00060FF5"/>
    <w:rsid w:val="00065671"/>
    <w:rsid w:val="000750CC"/>
    <w:rsid w:val="0008659C"/>
    <w:rsid w:val="00090B6A"/>
    <w:rsid w:val="000A016B"/>
    <w:rsid w:val="000A6F28"/>
    <w:rsid w:val="000B33DA"/>
    <w:rsid w:val="000D41AE"/>
    <w:rsid w:val="00112E66"/>
    <w:rsid w:val="00123DD6"/>
    <w:rsid w:val="0012515D"/>
    <w:rsid w:val="00136507"/>
    <w:rsid w:val="001526BC"/>
    <w:rsid w:val="001565DD"/>
    <w:rsid w:val="00164A10"/>
    <w:rsid w:val="00166451"/>
    <w:rsid w:val="001957D8"/>
    <w:rsid w:val="001A0F0A"/>
    <w:rsid w:val="001B33E2"/>
    <w:rsid w:val="001D034E"/>
    <w:rsid w:val="001D3E24"/>
    <w:rsid w:val="001D40A4"/>
    <w:rsid w:val="001D4F83"/>
    <w:rsid w:val="001E0BCC"/>
    <w:rsid w:val="001E1927"/>
    <w:rsid w:val="00204871"/>
    <w:rsid w:val="00210AAA"/>
    <w:rsid w:val="0021454D"/>
    <w:rsid w:val="00231695"/>
    <w:rsid w:val="0023563D"/>
    <w:rsid w:val="00254B25"/>
    <w:rsid w:val="0026774F"/>
    <w:rsid w:val="00290F14"/>
    <w:rsid w:val="002A2A92"/>
    <w:rsid w:val="002B3954"/>
    <w:rsid w:val="002B562A"/>
    <w:rsid w:val="002D3AB6"/>
    <w:rsid w:val="002E23C5"/>
    <w:rsid w:val="002E62CD"/>
    <w:rsid w:val="002F72D7"/>
    <w:rsid w:val="00302E4D"/>
    <w:rsid w:val="00303714"/>
    <w:rsid w:val="00305523"/>
    <w:rsid w:val="0032261B"/>
    <w:rsid w:val="00323B10"/>
    <w:rsid w:val="003245BE"/>
    <w:rsid w:val="00325FB9"/>
    <w:rsid w:val="00363793"/>
    <w:rsid w:val="00365DC8"/>
    <w:rsid w:val="003709C9"/>
    <w:rsid w:val="00375AD5"/>
    <w:rsid w:val="00391530"/>
    <w:rsid w:val="003A6AAC"/>
    <w:rsid w:val="003C541C"/>
    <w:rsid w:val="003D0FFE"/>
    <w:rsid w:val="003D30DA"/>
    <w:rsid w:val="003F2419"/>
    <w:rsid w:val="00400E4D"/>
    <w:rsid w:val="004135A4"/>
    <w:rsid w:val="00440C3E"/>
    <w:rsid w:val="0045179E"/>
    <w:rsid w:val="004551B6"/>
    <w:rsid w:val="00462BAC"/>
    <w:rsid w:val="00466E01"/>
    <w:rsid w:val="004748EC"/>
    <w:rsid w:val="00497416"/>
    <w:rsid w:val="004A52F2"/>
    <w:rsid w:val="004B02E3"/>
    <w:rsid w:val="004B18D0"/>
    <w:rsid w:val="004B4BD4"/>
    <w:rsid w:val="004D246E"/>
    <w:rsid w:val="004E04AA"/>
    <w:rsid w:val="004E5555"/>
    <w:rsid w:val="004F4E73"/>
    <w:rsid w:val="0050569D"/>
    <w:rsid w:val="005235CA"/>
    <w:rsid w:val="00532BF5"/>
    <w:rsid w:val="005644E1"/>
    <w:rsid w:val="005656AA"/>
    <w:rsid w:val="00575876"/>
    <w:rsid w:val="005879EB"/>
    <w:rsid w:val="00597579"/>
    <w:rsid w:val="005B404D"/>
    <w:rsid w:val="005B418A"/>
    <w:rsid w:val="005D049A"/>
    <w:rsid w:val="005F0D64"/>
    <w:rsid w:val="00642279"/>
    <w:rsid w:val="006526BA"/>
    <w:rsid w:val="006765D7"/>
    <w:rsid w:val="00684ECF"/>
    <w:rsid w:val="00691B56"/>
    <w:rsid w:val="00692058"/>
    <w:rsid w:val="006A7C67"/>
    <w:rsid w:val="006B34D1"/>
    <w:rsid w:val="006B6B17"/>
    <w:rsid w:val="006B6E47"/>
    <w:rsid w:val="006C556E"/>
    <w:rsid w:val="006D04FA"/>
    <w:rsid w:val="006D081E"/>
    <w:rsid w:val="006D08C9"/>
    <w:rsid w:val="006E637D"/>
    <w:rsid w:val="007223F3"/>
    <w:rsid w:val="00731CC6"/>
    <w:rsid w:val="0074385D"/>
    <w:rsid w:val="00750424"/>
    <w:rsid w:val="007622DF"/>
    <w:rsid w:val="00765FDC"/>
    <w:rsid w:val="0078403F"/>
    <w:rsid w:val="007860A4"/>
    <w:rsid w:val="00787A6D"/>
    <w:rsid w:val="007A37A8"/>
    <w:rsid w:val="007C07C4"/>
    <w:rsid w:val="007E1902"/>
    <w:rsid w:val="007E2DFC"/>
    <w:rsid w:val="007F0E95"/>
    <w:rsid w:val="007F3F5E"/>
    <w:rsid w:val="00811379"/>
    <w:rsid w:val="00811B15"/>
    <w:rsid w:val="00820A63"/>
    <w:rsid w:val="00837902"/>
    <w:rsid w:val="00856197"/>
    <w:rsid w:val="00857F53"/>
    <w:rsid w:val="00876ADA"/>
    <w:rsid w:val="008823A7"/>
    <w:rsid w:val="008A44F3"/>
    <w:rsid w:val="008A50F2"/>
    <w:rsid w:val="008B0873"/>
    <w:rsid w:val="008B1515"/>
    <w:rsid w:val="008B1F3D"/>
    <w:rsid w:val="008E706E"/>
    <w:rsid w:val="008F340F"/>
    <w:rsid w:val="008F4AF5"/>
    <w:rsid w:val="00901936"/>
    <w:rsid w:val="00902866"/>
    <w:rsid w:val="00920004"/>
    <w:rsid w:val="009263E8"/>
    <w:rsid w:val="00936F17"/>
    <w:rsid w:val="009434B4"/>
    <w:rsid w:val="00944982"/>
    <w:rsid w:val="00956637"/>
    <w:rsid w:val="00972FEF"/>
    <w:rsid w:val="00987240"/>
    <w:rsid w:val="0099675E"/>
    <w:rsid w:val="009E01E5"/>
    <w:rsid w:val="009E25F6"/>
    <w:rsid w:val="009E556D"/>
    <w:rsid w:val="009F4485"/>
    <w:rsid w:val="009F6E36"/>
    <w:rsid w:val="00A043C7"/>
    <w:rsid w:val="00A14A7A"/>
    <w:rsid w:val="00A2008B"/>
    <w:rsid w:val="00A23EBB"/>
    <w:rsid w:val="00A340AB"/>
    <w:rsid w:val="00A45013"/>
    <w:rsid w:val="00A5370C"/>
    <w:rsid w:val="00A67CC0"/>
    <w:rsid w:val="00A81613"/>
    <w:rsid w:val="00AA215D"/>
    <w:rsid w:val="00AB1531"/>
    <w:rsid w:val="00AD14EA"/>
    <w:rsid w:val="00AD6988"/>
    <w:rsid w:val="00AE0AC3"/>
    <w:rsid w:val="00B0095F"/>
    <w:rsid w:val="00B10DC1"/>
    <w:rsid w:val="00B10FCC"/>
    <w:rsid w:val="00B20DE9"/>
    <w:rsid w:val="00B24D3F"/>
    <w:rsid w:val="00B25C1C"/>
    <w:rsid w:val="00B477E6"/>
    <w:rsid w:val="00B54DDE"/>
    <w:rsid w:val="00B6647C"/>
    <w:rsid w:val="00B74430"/>
    <w:rsid w:val="00B77C94"/>
    <w:rsid w:val="00B95434"/>
    <w:rsid w:val="00BB0955"/>
    <w:rsid w:val="00C07A1F"/>
    <w:rsid w:val="00C3024E"/>
    <w:rsid w:val="00C5221D"/>
    <w:rsid w:val="00C545B0"/>
    <w:rsid w:val="00C5737A"/>
    <w:rsid w:val="00C64968"/>
    <w:rsid w:val="00C87C83"/>
    <w:rsid w:val="00C911A8"/>
    <w:rsid w:val="00C93113"/>
    <w:rsid w:val="00CC1A42"/>
    <w:rsid w:val="00CD6574"/>
    <w:rsid w:val="00CE5096"/>
    <w:rsid w:val="00D01455"/>
    <w:rsid w:val="00D2056C"/>
    <w:rsid w:val="00D25241"/>
    <w:rsid w:val="00D46F5A"/>
    <w:rsid w:val="00D51CAD"/>
    <w:rsid w:val="00D56544"/>
    <w:rsid w:val="00D577B7"/>
    <w:rsid w:val="00D73080"/>
    <w:rsid w:val="00D73E65"/>
    <w:rsid w:val="00D82E72"/>
    <w:rsid w:val="00D86FB4"/>
    <w:rsid w:val="00D92DE2"/>
    <w:rsid w:val="00D944CA"/>
    <w:rsid w:val="00DA47D5"/>
    <w:rsid w:val="00DB49D5"/>
    <w:rsid w:val="00DD1673"/>
    <w:rsid w:val="00DD219A"/>
    <w:rsid w:val="00DD4CB3"/>
    <w:rsid w:val="00DE429F"/>
    <w:rsid w:val="00E07BD2"/>
    <w:rsid w:val="00E132D4"/>
    <w:rsid w:val="00E13C47"/>
    <w:rsid w:val="00E6659F"/>
    <w:rsid w:val="00E66FF0"/>
    <w:rsid w:val="00E811E9"/>
    <w:rsid w:val="00E84F67"/>
    <w:rsid w:val="00E9788B"/>
    <w:rsid w:val="00EA435F"/>
    <w:rsid w:val="00EC3E3B"/>
    <w:rsid w:val="00EE4E8F"/>
    <w:rsid w:val="00F0255A"/>
    <w:rsid w:val="00F22EFC"/>
    <w:rsid w:val="00F333D5"/>
    <w:rsid w:val="00F403ED"/>
    <w:rsid w:val="00F50996"/>
    <w:rsid w:val="00F55182"/>
    <w:rsid w:val="00F55CD5"/>
    <w:rsid w:val="00F62881"/>
    <w:rsid w:val="00F65A0E"/>
    <w:rsid w:val="00F70E3A"/>
    <w:rsid w:val="00F735B6"/>
    <w:rsid w:val="00F75308"/>
    <w:rsid w:val="00FA5433"/>
    <w:rsid w:val="00FB375B"/>
    <w:rsid w:val="00FD0D8E"/>
    <w:rsid w:val="00FD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77C68"/>
  <w15:chartTrackingRefBased/>
  <w15:docId w15:val="{93A31707-EBEB-F74C-8D7D-4AB535AE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Darragh Flood</dc:creator>
  <cp:keywords/>
  <dc:description/>
  <cp:lastModifiedBy>Darragh Flood</cp:lastModifiedBy>
  <cp:revision>2</cp:revision>
  <cp:lastPrinted>2023-10-23T11:27:00Z</cp:lastPrinted>
  <dcterms:created xsi:type="dcterms:W3CDTF">2024-02-15T14:44:00Z</dcterms:created>
  <dcterms:modified xsi:type="dcterms:W3CDTF">2024-02-15T14:44:00Z</dcterms:modified>
</cp:coreProperties>
</file>